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0" w:lineRule="auto"/>
        <w:contextualSpacing w:val="0"/>
        <w:jc w:val="center"/>
        <w:rPr>
          <w:rFonts w:ascii="Times New Roman" w:cs="Times New Roman" w:eastAsia="Times New Roman" w:hAnsi="Times New Roman"/>
          <w:b w:val="1"/>
          <w:color w:val="000000"/>
          <w:sz w:val="28"/>
          <w:szCs w:val="28"/>
        </w:rPr>
      </w:pPr>
      <w:bookmarkStart w:colFirst="0" w:colLast="0" w:name="_gjdgxs" w:id="0"/>
      <w:bookmarkEnd w:id="0"/>
      <w:r w:rsidDel="00000000" w:rsidR="00000000" w:rsidRPr="00000000">
        <w:rPr>
          <w:rFonts w:ascii="Times New Roman" w:cs="Times New Roman" w:eastAsia="Times New Roman" w:hAnsi="Times New Roman"/>
          <w:b w:val="1"/>
          <w:color w:val="000000"/>
          <w:sz w:val="28"/>
          <w:szCs w:val="28"/>
          <w:rtl w:val="0"/>
        </w:rPr>
        <w:t xml:space="preserve">ИНФОРМАЦИОННОЕ ПИСЬМО </w:t>
      </w:r>
    </w:p>
    <w:p w:rsidR="00000000" w:rsidDel="00000000" w:rsidP="00000000" w:rsidRDefault="00000000" w:rsidRPr="00000000" w14:paraId="00000001">
      <w:pPr>
        <w:shd w:fill="ffffff" w:val="clear"/>
        <w:spacing w:after="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Уважаемые коллеги!</w:t>
      </w:r>
    </w:p>
    <w:p w:rsidR="00000000" w:rsidDel="00000000" w:rsidP="00000000" w:rsidRDefault="00000000" w:rsidRPr="00000000" w14:paraId="00000002">
      <w:pPr>
        <w:shd w:fill="ffffff" w:val="clear"/>
        <w:spacing w:after="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27-28 сентября 2024 г.</w:t>
      </w:r>
    </w:p>
    <w:p w:rsidR="00000000" w:rsidDel="00000000" w:rsidP="00000000" w:rsidRDefault="00000000" w:rsidRPr="00000000" w14:paraId="00000003">
      <w:pPr>
        <w:spacing w:after="0" w:line="240" w:lineRule="auto"/>
        <w:contextualSpacing w:val="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 базе Национального исследовательского Нижегородского государственного университета им. Н.И. Лобачевского </w:t>
      </w:r>
    </w:p>
    <w:p w:rsidR="00000000" w:rsidDel="00000000" w:rsidP="00000000" w:rsidRDefault="00000000" w:rsidRPr="00000000" w14:paraId="00000004">
      <w:pPr>
        <w:spacing w:after="0" w:line="240" w:lineRule="auto"/>
        <w:contextualSpacing w:val="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состоится </w:t>
      </w:r>
    </w:p>
    <w:p w:rsidR="00000000" w:rsidDel="00000000" w:rsidP="00000000" w:rsidRDefault="00000000" w:rsidRPr="00000000" w14:paraId="00000005">
      <w:pPr>
        <w:spacing w:after="0" w:line="240" w:lineRule="auto"/>
        <w:contextualSpacing w:val="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Всероссийская научная конференция</w:t>
      </w:r>
    </w:p>
    <w:p w:rsidR="00000000" w:rsidDel="00000000" w:rsidP="00000000" w:rsidRDefault="00000000" w:rsidRPr="00000000" w14:paraId="00000006">
      <w:pPr>
        <w:spacing w:after="0" w:line="240" w:lineRule="auto"/>
        <w:contextualSpacing w:val="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 международным участием.</w:t>
      </w:r>
    </w:p>
    <w:p w:rsidR="00000000" w:rsidDel="00000000" w:rsidP="00000000" w:rsidRDefault="00000000" w:rsidRPr="00000000" w14:paraId="00000007">
      <w:pPr>
        <w:spacing w:after="0" w:line="240" w:lineRule="auto"/>
        <w:contextualSpacing w:val="0"/>
        <w:jc w:val="center"/>
        <w:rPr>
          <w:rFonts w:ascii="Times New Roman" w:cs="Times New Roman" w:eastAsia="Times New Roman" w:hAnsi="Times New Roman"/>
          <w:b w:val="1"/>
          <w:color w:val="000000"/>
          <w:sz w:val="44"/>
          <w:szCs w:val="44"/>
        </w:rPr>
      </w:pPr>
      <w:r w:rsidDel="00000000" w:rsidR="00000000" w:rsidRPr="00000000">
        <w:rPr>
          <w:rFonts w:ascii="Times New Roman" w:cs="Times New Roman" w:eastAsia="Times New Roman" w:hAnsi="Times New Roman"/>
          <w:color w:val="000000"/>
          <w:sz w:val="44"/>
          <w:szCs w:val="44"/>
          <w:rtl w:val="0"/>
        </w:rPr>
        <w:t xml:space="preserve"> </w:t>
      </w:r>
      <w:r w:rsidDel="00000000" w:rsidR="00000000" w:rsidRPr="00000000">
        <w:rPr>
          <w:rFonts w:ascii="Times New Roman" w:cs="Times New Roman" w:eastAsia="Times New Roman" w:hAnsi="Times New Roman"/>
          <w:b w:val="1"/>
          <w:color w:val="000000"/>
          <w:sz w:val="44"/>
          <w:szCs w:val="44"/>
          <w:rtl w:val="0"/>
        </w:rPr>
        <w:t xml:space="preserve">«Идеи государства и государственности в отечественной и мировой культуре»</w:t>
      </w:r>
    </w:p>
    <w:p w:rsidR="00000000" w:rsidDel="00000000" w:rsidP="00000000" w:rsidRDefault="00000000" w:rsidRPr="00000000" w14:paraId="00000008">
      <w:pPr>
        <w:spacing w:after="0" w:line="240" w:lineRule="auto"/>
        <w:contextualSpacing w:val="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9">
      <w:pPr>
        <w:spacing w:after="0" w:line="240" w:lineRule="auto"/>
        <w:ind w:firstLine="709"/>
        <w:contextualSpacing w:val="0"/>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В 2024 г. Нижний Новгород объявлен культурной столицей России, что делает его пространством творческого взаимодействия и площадкой для обмена мнениями представителей интеллектуальной элиты нашего общества, а также представителей зарубежных научных и исследовательских центров. В Нижегородском государственном университете им. Н.И. Лобачевского уже многие годы проводится конференция «Одна проблема: три измерения», которая собирает представителей разных научных дисциплин, направлений и школ — для всестороннего рассмотрения и обсуждения одной актуальной проблемы. В настоящее время вузовское сообщество вовлечено в обсуждение пересмотра и пересборки образовательных программ по социогуманитарным дисциплинам. Мы приглашаем проанализировать социальные, политические и культурные аспекты изучения, преподавания и продвижения идей государства и государственности в свете современных требований и ожиданий. </w:t>
      </w:r>
    </w:p>
    <w:p w:rsidR="00000000" w:rsidDel="00000000" w:rsidP="00000000" w:rsidRDefault="00000000" w:rsidRPr="00000000" w14:paraId="0000000A">
      <w:pPr>
        <w:spacing w:after="0" w:line="240" w:lineRule="auto"/>
        <w:ind w:firstLine="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Помимо пленарного заседания («Роль государства: проблемы изучения и преподавания») и тематических секций в рамках конференции предусмотрена серия </w:t>
      </w:r>
      <w:r w:rsidDel="00000000" w:rsidR="00000000" w:rsidRPr="00000000">
        <w:rPr>
          <w:rFonts w:ascii="Times New Roman" w:cs="Times New Roman" w:eastAsia="Times New Roman" w:hAnsi="Times New Roman"/>
          <w:i w:val="1"/>
          <w:sz w:val="26"/>
          <w:szCs w:val="26"/>
          <w:rtl w:val="0"/>
        </w:rPr>
        <w:t xml:space="preserve">панельных дискуссий и круглых столов</w:t>
      </w:r>
      <w:r w:rsidDel="00000000" w:rsidR="00000000" w:rsidRPr="00000000">
        <w:rPr>
          <w:rFonts w:ascii="Times New Roman" w:cs="Times New Roman" w:eastAsia="Times New Roman" w:hAnsi="Times New Roman"/>
          <w:sz w:val="26"/>
          <w:szCs w:val="26"/>
          <w:rtl w:val="0"/>
        </w:rPr>
        <w:t xml:space="preserve">. Их организаторами являются Институт международных отношений и мировой истории ННГУ, Факультет социальных наук ННГУ, Нижегородское отделение Российского общества политологов (РОП), Нижегородское отделение Ассоциации европейских исследований (АЕВИС), Нижегородское отделение Российского исторического общества (РИО), Нижегородское отделение Российского общества социологов (РОС). Координирует подготовку и проведение конференции региональный учебно-методический Центр ННГУ «Основы Российской государственности».</w:t>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Темы панельных дискуссий</w:t>
      </w:r>
    </w:p>
    <w:p w:rsidR="00000000" w:rsidDel="00000000" w:rsidP="00000000" w:rsidRDefault="00000000" w:rsidRPr="00000000" w14:paraId="0000000C">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Панельная дискуссия 1</w:t>
      </w:r>
      <w:r w:rsidDel="00000000" w:rsidR="00000000" w:rsidRPr="00000000">
        <w:rPr>
          <w:rFonts w:ascii="Times New Roman" w:cs="Times New Roman" w:eastAsia="Times New Roman" w:hAnsi="Times New Roman"/>
          <w:sz w:val="26"/>
          <w:szCs w:val="26"/>
          <w:rtl w:val="0"/>
        </w:rPr>
        <w:t xml:space="preserve"> (соорганизатор — Российское общество политологов). </w:t>
      </w:r>
    </w:p>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УПРАВЛЕНИЕ ГОСУДАРСТВОМ: НАСКОЛЬКО ОСТРА ПРОБЛЕМА ЭФФЕКТИВНОСТИ? </w:t>
      </w:r>
    </w:p>
    <w:p w:rsidR="00000000" w:rsidDel="00000000" w:rsidP="00000000" w:rsidRDefault="00000000" w:rsidRPr="00000000" w14:paraId="0000000E">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Панельная дискуссия 2</w:t>
      </w:r>
      <w:r w:rsidDel="00000000" w:rsidR="00000000" w:rsidRPr="00000000">
        <w:rPr>
          <w:rFonts w:ascii="Times New Roman" w:cs="Times New Roman" w:eastAsia="Times New Roman" w:hAnsi="Times New Roman"/>
          <w:sz w:val="26"/>
          <w:szCs w:val="26"/>
          <w:rtl w:val="0"/>
        </w:rPr>
        <w:t xml:space="preserve"> (соорганизатор —Российское общество социологов).</w:t>
      </w:r>
    </w:p>
    <w:p w:rsidR="00000000" w:rsidDel="00000000" w:rsidP="00000000" w:rsidRDefault="00000000" w:rsidRPr="00000000" w14:paraId="0000000F">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ГОСУДАРСТВО-ЦИВИЛИЗАЦИЯ КАК АКТОР СОЦИАЛЬНОЙ ДИНАМИКИ </w:t>
      </w:r>
    </w:p>
    <w:p w:rsidR="00000000" w:rsidDel="00000000" w:rsidP="00000000" w:rsidRDefault="00000000" w:rsidRPr="00000000" w14:paraId="00000010">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Панельная дискуссия 3</w:t>
      </w:r>
      <w:r w:rsidDel="00000000" w:rsidR="00000000" w:rsidRPr="00000000">
        <w:rPr>
          <w:rFonts w:ascii="Times New Roman" w:cs="Times New Roman" w:eastAsia="Times New Roman" w:hAnsi="Times New Roman"/>
          <w:sz w:val="26"/>
          <w:szCs w:val="26"/>
          <w:rtl w:val="0"/>
        </w:rPr>
        <w:t xml:space="preserve"> (соорганизатор — Российское историческое общество)</w:t>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ТАКИЕ РАЗНЫЕ ГОСУДАРСТВА… АКТУАЛЬНЫЕ ПОДХОДЫ К ИЗУЧЕНИЮ ПОЛИТОГЕНЕЗА ИСТОРИКАМИ </w:t>
      </w:r>
    </w:p>
    <w:p w:rsidR="00000000" w:rsidDel="00000000" w:rsidP="00000000" w:rsidRDefault="00000000" w:rsidRPr="00000000" w14:paraId="00000012">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Панельная дискуссия 4</w:t>
      </w:r>
      <w:r w:rsidDel="00000000" w:rsidR="00000000" w:rsidRPr="00000000">
        <w:rPr>
          <w:rFonts w:ascii="Times New Roman" w:cs="Times New Roman" w:eastAsia="Times New Roman" w:hAnsi="Times New Roman"/>
          <w:sz w:val="26"/>
          <w:szCs w:val="26"/>
          <w:rtl w:val="0"/>
        </w:rPr>
        <w:t xml:space="preserve"> (соорганизатор — Ассоциация Европейских Исследований (АЕВИС))</w:t>
      </w:r>
    </w:p>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ИДЕЯ ГОСУДАРСТВЕННОСТИ И СОВРЕМЕННЫЕ ИНТЕГРАЦИОННЫЕ ПРОЦЕССЫ</w:t>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Темы круглых столов</w:t>
      </w:r>
    </w:p>
    <w:p w:rsidR="00000000" w:rsidDel="00000000" w:rsidP="00000000" w:rsidRDefault="00000000" w:rsidRPr="00000000" w14:paraId="00000015">
      <w:pPr>
        <w:spacing w:after="0" w:line="240" w:lineRule="auto"/>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Круглый стол 1. </w:t>
      </w:r>
    </w:p>
    <w:p w:rsidR="00000000" w:rsidDel="00000000" w:rsidP="00000000" w:rsidRDefault="00000000" w:rsidRPr="00000000" w14:paraId="00000016">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ПРЕПОДАВАНИЕ СОЦИОГУМАНИТАРНЫХ ДИСЦИПЛИН ДЛЯ НЕГУМАНИТАРИЕВ В СОВРЕМЕННОМ ВУЗЕ: ВЫЗОВЫ И РЕШЕНИЯ</w:t>
      </w:r>
    </w:p>
    <w:p w:rsidR="00000000" w:rsidDel="00000000" w:rsidP="00000000" w:rsidRDefault="00000000" w:rsidRPr="00000000" w14:paraId="00000017">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highlight w:val="white"/>
          <w:rtl w:val="0"/>
        </w:rPr>
        <w:t xml:space="preserve">Круглый стол 2.</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8">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ОЖИДАНИЯ МОЛОДЫХ: БУДУЩЕЕ ГОСУДАРСТВА И ГОСУДАРСТВЕННОСТИ В МЕНЯЮЩЕМСЯ МИРЕ</w:t>
      </w:r>
    </w:p>
    <w:p w:rsidR="00000000" w:rsidDel="00000000" w:rsidP="00000000" w:rsidRDefault="00000000" w:rsidRPr="00000000" w14:paraId="00000019">
      <w:pPr>
        <w:spacing w:after="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Регламент выступлений</w:t>
      </w:r>
      <w:r w:rsidDel="00000000" w:rsidR="00000000" w:rsidRPr="00000000">
        <w:rPr>
          <w:rFonts w:ascii="Times New Roman" w:cs="Times New Roman" w:eastAsia="Times New Roman" w:hAnsi="Times New Roman"/>
          <w:sz w:val="24"/>
          <w:szCs w:val="24"/>
          <w:highlight w:val="white"/>
          <w:rtl w:val="0"/>
        </w:rPr>
        <w:t xml:space="preserve">: доклад на пленарном заседании — до 20 минут, в рамках секции — до 15 минут, на круглых столах — до 10 минут. </w:t>
      </w:r>
    </w:p>
    <w:p w:rsidR="00000000" w:rsidDel="00000000" w:rsidP="00000000" w:rsidRDefault="00000000" w:rsidRPr="00000000" w14:paraId="0000001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участия в конференции необходимо выслать регистрационную форму (Приложение 1) по ссылке: </w:t>
      </w:r>
      <w:hyperlink r:id="rId6">
        <w:r w:rsidDel="00000000" w:rsidR="00000000" w:rsidRPr="00000000">
          <w:rPr>
            <w:rFonts w:ascii="Times New Roman" w:cs="Times New Roman" w:eastAsia="Times New Roman" w:hAnsi="Times New Roman"/>
            <w:color w:val="0000ff"/>
            <w:sz w:val="24"/>
            <w:szCs w:val="24"/>
            <w:highlight w:val="white"/>
            <w:u w:val="single"/>
            <w:rtl w:val="0"/>
          </w:rPr>
          <w:t xml:space="preserve">gosudarstvennost@inbox.ru</w:t>
        </w:r>
      </w:hyperlink>
      <w:r w:rsidDel="00000000" w:rsidR="00000000" w:rsidRPr="00000000">
        <w:rPr>
          <w:rtl w:val="0"/>
        </w:rPr>
      </w:r>
    </w:p>
    <w:p w:rsidR="00000000" w:rsidDel="00000000" w:rsidP="00000000" w:rsidRDefault="00000000" w:rsidRPr="00000000" w14:paraId="0000001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регистрации участников до </w:t>
      </w:r>
      <w:r w:rsidDel="00000000" w:rsidR="00000000" w:rsidRPr="00000000">
        <w:rPr>
          <w:rFonts w:ascii="Times New Roman" w:cs="Times New Roman" w:eastAsia="Times New Roman" w:hAnsi="Times New Roman"/>
          <w:b w:val="1"/>
          <w:sz w:val="24"/>
          <w:szCs w:val="24"/>
          <w:rtl w:val="0"/>
        </w:rPr>
        <w:t xml:space="preserve">30 июня 2024 г.</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after="0" w:line="24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Конференция будет проходить в смешанном формате: очном и дистанционном</w:t>
      </w:r>
    </w:p>
    <w:p w:rsidR="00000000" w:rsidDel="00000000" w:rsidP="00000000" w:rsidRDefault="00000000" w:rsidRPr="00000000" w14:paraId="0000001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По окончании конференции будет издан сборник материалов конференции. Все принятые статьи будут проиндексированы в системе Российского индекса научного цитирования (РИНЦ). Участникам конференции будут выданы (разосланы) сертификаты. </w:t>
      </w:r>
      <w:r w:rsidDel="00000000" w:rsidR="00000000" w:rsidRPr="00000000">
        <w:rPr>
          <w:rtl w:val="0"/>
        </w:rPr>
      </w:r>
    </w:p>
    <w:p w:rsidR="00000000" w:rsidDel="00000000" w:rsidP="00000000" w:rsidRDefault="00000000" w:rsidRPr="00000000" w14:paraId="0000001E">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 заявки на участие (необходимо заполнить и отправить на указанный адрес электронной почты): </w:t>
      </w:r>
    </w:p>
    <w:tbl>
      <w:tblPr>
        <w:tblStyle w:val="Table1"/>
        <w:tblW w:w="9355.0" w:type="dxa"/>
        <w:jc w:val="left"/>
        <w:tblInd w:w="250.0" w:type="dxa"/>
        <w:tblLayout w:type="fixed"/>
        <w:tblLook w:val="0000"/>
      </w:tblPr>
      <w:tblGrid>
        <w:gridCol w:w="3414"/>
        <w:gridCol w:w="5941"/>
        <w:tblGridChange w:id="0">
          <w:tblGrid>
            <w:gridCol w:w="3414"/>
            <w:gridCol w:w="5941"/>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1F">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ФИО участника (полностью)</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contextualSpacing w:val="0"/>
              <w:jc w:val="both"/>
              <w:rPr>
                <w:rFonts w:ascii="Times New Roman" w:cs="Times New Roman" w:eastAsia="Times New Roman" w:hAnsi="Times New Roman"/>
                <w:sz w:val="26"/>
                <w:szCs w:val="26"/>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21">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Должность, место работы/учёбы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contextualSpacing w:val="0"/>
              <w:jc w:val="both"/>
              <w:rPr>
                <w:rFonts w:ascii="Times New Roman" w:cs="Times New Roman" w:eastAsia="Times New Roman" w:hAnsi="Times New Roman"/>
                <w:sz w:val="26"/>
                <w:szCs w:val="26"/>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23">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Направление работы конференции (название панельной дискуссии или круглого стола)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contextualSpacing w:val="0"/>
              <w:rPr>
                <w:rFonts w:ascii="Times New Roman" w:cs="Times New Roman" w:eastAsia="Times New Roman" w:hAnsi="Times New Roman"/>
                <w:sz w:val="26"/>
                <w:szCs w:val="26"/>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25">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Формат участия (очный, дистанционный)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contextualSpacing w:val="0"/>
              <w:rPr>
                <w:rFonts w:ascii="Times New Roman" w:cs="Times New Roman" w:eastAsia="Times New Roman" w:hAnsi="Times New Roman"/>
                <w:sz w:val="26"/>
                <w:szCs w:val="26"/>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27">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Название доклада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contextualSpacing w:val="0"/>
              <w:rPr>
                <w:rFonts w:ascii="Times New Roman" w:cs="Times New Roman" w:eastAsia="Times New Roman" w:hAnsi="Times New Roman"/>
                <w:i w:val="1"/>
                <w:sz w:val="26"/>
                <w:szCs w:val="26"/>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29">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Требуется ли оборудование для презентации (компьютер, проектор, экран)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contextualSpacing w:val="0"/>
              <w:rPr>
                <w:rFonts w:ascii="Times New Roman" w:cs="Times New Roman" w:eastAsia="Times New Roman" w:hAnsi="Times New Roman"/>
                <w:i w:val="1"/>
                <w:sz w:val="26"/>
                <w:szCs w:val="26"/>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2B">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Аннотация доклада </w:t>
            </w:r>
          </w:p>
          <w:p w:rsidR="00000000" w:rsidDel="00000000" w:rsidP="00000000" w:rsidRDefault="00000000" w:rsidRPr="00000000" w14:paraId="0000002C">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(10–15 предложений)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contextualSpacing w:val="0"/>
              <w:rPr>
                <w:rFonts w:ascii="Times New Roman" w:cs="Times New Roman" w:eastAsia="Times New Roman" w:hAnsi="Times New Roman"/>
                <w:sz w:val="26"/>
                <w:szCs w:val="26"/>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2E">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Адрес электронной почты и номер мобильного телефона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contextualSpacing w:val="0"/>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30">
      <w:pPr>
        <w:spacing w:after="0" w:lineRule="auto"/>
        <w:ind w:firstLine="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Оргкомитет проводит конкурсный отбор участников по заявленным аннотациям докладов. Организаторы конференции сохраняют за собой право отклонить материалы, не соответствующие проблематике и/или научному уровню конференции. О результатах отбора и сроках публикации материалов конференции Оргкомитет сообщит во втором информационном письме (июль 2024 г.).</w:t>
      </w:r>
    </w:p>
    <w:p w:rsidR="00000000" w:rsidDel="00000000" w:rsidP="00000000" w:rsidRDefault="00000000" w:rsidRPr="00000000" w14:paraId="00000031">
      <w:pPr>
        <w:contextualSpacing w:val="0"/>
        <w:rPr>
          <w:sz w:val="26"/>
          <w:szCs w:val="26"/>
        </w:rPr>
      </w:pPr>
      <w:r w:rsidDel="00000000" w:rsidR="00000000" w:rsidRPr="00000000">
        <w:rPr>
          <w:rtl w:val="0"/>
        </w:rPr>
      </w:r>
    </w:p>
    <w:sectPr>
      <w:pgSz w:h="16838" w:w="11906"/>
      <w:pgMar w:bottom="1134" w:top="1134"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D5010A"/>
    <w:pPr>
      <w:spacing w:after="200" w:line="276" w:lineRule="auto"/>
    </w:pPr>
    <w:rPr>
      <w:rFonts w:ascii="Calibri" w:cs="Times New Roman" w:eastAsia="Calibri" w:hAnsi="Calibri"/>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unhideWhenUsed w:val="1"/>
    <w:rsid w:val="00D5010A"/>
    <w:rPr>
      <w:color w:val="0000ff"/>
      <w:u w:val="single"/>
    </w:rPr>
  </w:style>
  <w:style w:type="character" w:styleId="uacg3fb" w:customStyle="1">
    <w:name w:val="uacg3fb"/>
    <w:basedOn w:val="a0"/>
    <w:rsid w:val="00D5010A"/>
  </w:style>
  <w:style w:type="paragraph" w:styleId="a4">
    <w:name w:val="Balloon Text"/>
    <w:basedOn w:val="a"/>
    <w:link w:val="a5"/>
    <w:uiPriority w:val="99"/>
    <w:semiHidden w:val="1"/>
    <w:unhideWhenUsed w:val="1"/>
    <w:rsid w:val="00911B60"/>
    <w:pPr>
      <w:spacing w:after="0" w:line="240" w:lineRule="auto"/>
    </w:pPr>
    <w:rPr>
      <w:rFonts w:ascii="Segoe UI" w:cs="Segoe UI" w:hAnsi="Segoe UI"/>
      <w:sz w:val="18"/>
      <w:szCs w:val="18"/>
    </w:rPr>
  </w:style>
  <w:style w:type="character" w:styleId="a5" w:customStyle="1">
    <w:name w:val="Текст выноски Знак"/>
    <w:basedOn w:val="a0"/>
    <w:link w:val="a4"/>
    <w:uiPriority w:val="99"/>
    <w:semiHidden w:val="1"/>
    <w:rsid w:val="00911B60"/>
    <w:rPr>
      <w:rFonts w:ascii="Segoe UI" w:cs="Segoe UI" w:eastAsia="Calibr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osudarstvennost@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